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137" w:rsidRPr="00404DBE" w:rsidRDefault="000F4137" w:rsidP="009777B4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404DBE">
        <w:rPr>
          <w:rFonts w:ascii="Arial" w:hAnsi="Arial" w:cs="Arial"/>
          <w:b/>
          <w:sz w:val="28"/>
          <w:szCs w:val="28"/>
        </w:rPr>
        <w:t xml:space="preserve"> LEI </w:t>
      </w:r>
      <w:r w:rsidR="009777B4">
        <w:rPr>
          <w:rFonts w:ascii="Arial" w:hAnsi="Arial" w:cs="Arial"/>
          <w:b/>
          <w:sz w:val="28"/>
          <w:szCs w:val="28"/>
        </w:rPr>
        <w:t xml:space="preserve">COMPLEMENTAR </w:t>
      </w:r>
      <w:r w:rsidRPr="00404DBE">
        <w:rPr>
          <w:rFonts w:ascii="Arial" w:hAnsi="Arial" w:cs="Arial"/>
          <w:b/>
          <w:sz w:val="28"/>
          <w:szCs w:val="28"/>
        </w:rPr>
        <w:t xml:space="preserve">N° </w:t>
      </w:r>
      <w:r w:rsidR="00A01C4D">
        <w:rPr>
          <w:rFonts w:ascii="Arial" w:hAnsi="Arial" w:cs="Arial"/>
          <w:b/>
          <w:sz w:val="28"/>
          <w:szCs w:val="28"/>
        </w:rPr>
        <w:t>10</w:t>
      </w:r>
      <w:r w:rsidRPr="00404DBE">
        <w:rPr>
          <w:rFonts w:ascii="Arial" w:hAnsi="Arial" w:cs="Arial"/>
          <w:b/>
          <w:sz w:val="28"/>
          <w:szCs w:val="28"/>
        </w:rPr>
        <w:t xml:space="preserve">, DE </w:t>
      </w:r>
      <w:r w:rsidR="009B24FB">
        <w:rPr>
          <w:rFonts w:ascii="Arial" w:hAnsi="Arial" w:cs="Arial"/>
          <w:b/>
          <w:sz w:val="28"/>
          <w:szCs w:val="28"/>
        </w:rPr>
        <w:t>16</w:t>
      </w:r>
      <w:r w:rsidRPr="00404DBE">
        <w:rPr>
          <w:rFonts w:ascii="Arial" w:hAnsi="Arial" w:cs="Arial"/>
          <w:b/>
          <w:sz w:val="28"/>
          <w:szCs w:val="28"/>
        </w:rPr>
        <w:t xml:space="preserve"> DE </w:t>
      </w:r>
      <w:r w:rsidR="009B24FB">
        <w:rPr>
          <w:rFonts w:ascii="Arial" w:hAnsi="Arial" w:cs="Arial"/>
          <w:b/>
          <w:sz w:val="28"/>
          <w:szCs w:val="28"/>
        </w:rPr>
        <w:t>NOVEMBRO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404DBE">
        <w:rPr>
          <w:rFonts w:ascii="Arial" w:hAnsi="Arial" w:cs="Arial"/>
          <w:b/>
          <w:sz w:val="28"/>
          <w:szCs w:val="28"/>
        </w:rPr>
        <w:t>DE 201</w:t>
      </w:r>
      <w:r>
        <w:rPr>
          <w:rFonts w:ascii="Arial" w:hAnsi="Arial" w:cs="Arial"/>
          <w:b/>
          <w:sz w:val="28"/>
          <w:szCs w:val="28"/>
        </w:rPr>
        <w:t>6</w:t>
      </w:r>
      <w:r w:rsidRPr="00404DBE">
        <w:rPr>
          <w:rFonts w:ascii="Arial" w:hAnsi="Arial" w:cs="Arial"/>
          <w:b/>
          <w:sz w:val="28"/>
          <w:szCs w:val="28"/>
        </w:rPr>
        <w:t>.</w:t>
      </w:r>
    </w:p>
    <w:p w:rsidR="008E7AA5" w:rsidRPr="009A25F6" w:rsidRDefault="008E7AA5" w:rsidP="008E7AA5">
      <w:pPr>
        <w:widowControl w:val="0"/>
        <w:ind w:left="3544"/>
        <w:jc w:val="both"/>
        <w:rPr>
          <w:rFonts w:eastAsia="MS Mincho" w:cstheme="minorHAnsi"/>
          <w:b/>
          <w:i/>
          <w:snapToGrid w:val="0"/>
          <w:sz w:val="24"/>
          <w:szCs w:val="24"/>
        </w:rPr>
      </w:pPr>
      <w:r w:rsidRPr="009A25F6">
        <w:rPr>
          <w:rFonts w:eastAsia="MS Mincho" w:cstheme="minorHAnsi"/>
          <w:b/>
          <w:i/>
          <w:snapToGrid w:val="0"/>
          <w:sz w:val="24"/>
          <w:szCs w:val="24"/>
        </w:rPr>
        <w:t xml:space="preserve">Dispõe sobre </w:t>
      </w:r>
      <w:r>
        <w:rPr>
          <w:rFonts w:eastAsia="MS Mincho" w:cstheme="minorHAnsi"/>
          <w:b/>
          <w:i/>
          <w:snapToGrid w:val="0"/>
          <w:sz w:val="24"/>
          <w:szCs w:val="24"/>
        </w:rPr>
        <w:t xml:space="preserve">a regulamentação da concessão a aposentadoria da pessoa com deficiência segurada do </w:t>
      </w:r>
      <w:r w:rsidRPr="009A25F6">
        <w:rPr>
          <w:rFonts w:eastAsia="MS Mincho" w:cstheme="minorHAnsi"/>
          <w:b/>
          <w:i/>
          <w:snapToGrid w:val="0"/>
          <w:sz w:val="24"/>
          <w:szCs w:val="24"/>
        </w:rPr>
        <w:t xml:space="preserve">Regime Próprio de Previdência dos </w:t>
      </w:r>
      <w:r>
        <w:rPr>
          <w:rFonts w:eastAsia="MS Mincho" w:cstheme="minorHAnsi"/>
          <w:b/>
          <w:i/>
          <w:snapToGrid w:val="0"/>
          <w:sz w:val="24"/>
          <w:szCs w:val="24"/>
        </w:rPr>
        <w:t>Servidores P</w:t>
      </w:r>
      <w:r w:rsidRPr="009A25F6">
        <w:rPr>
          <w:rFonts w:eastAsia="MS Mincho" w:cstheme="minorHAnsi"/>
          <w:b/>
          <w:i/>
          <w:snapToGrid w:val="0"/>
          <w:sz w:val="24"/>
          <w:szCs w:val="24"/>
        </w:rPr>
        <w:t>úblicos do Município de Fortaleza de Minas</w:t>
      </w:r>
      <w:r>
        <w:rPr>
          <w:rFonts w:eastAsia="MS Mincho" w:cstheme="minorHAnsi"/>
          <w:b/>
          <w:i/>
          <w:snapToGrid w:val="0"/>
          <w:sz w:val="24"/>
          <w:szCs w:val="24"/>
        </w:rPr>
        <w:t xml:space="preserve"> reestruturado pela</w:t>
      </w:r>
      <w:r w:rsidRPr="009A25F6">
        <w:rPr>
          <w:rFonts w:eastAsia="MS Mincho" w:cstheme="minorHAnsi"/>
          <w:b/>
          <w:i/>
          <w:snapToGrid w:val="0"/>
          <w:sz w:val="24"/>
          <w:szCs w:val="24"/>
        </w:rPr>
        <w:t xml:space="preserve"> Lei nº</w:t>
      </w:r>
      <w:r>
        <w:rPr>
          <w:rFonts w:eastAsia="MS Mincho" w:cstheme="minorHAnsi"/>
          <w:b/>
          <w:i/>
          <w:snapToGrid w:val="0"/>
          <w:sz w:val="24"/>
          <w:szCs w:val="24"/>
        </w:rPr>
        <w:t xml:space="preserve"> </w:t>
      </w:r>
      <w:r w:rsidRPr="009A25F6">
        <w:rPr>
          <w:rFonts w:eastAsia="MS Mincho" w:cstheme="minorHAnsi"/>
          <w:b/>
          <w:i/>
          <w:snapToGrid w:val="0"/>
          <w:sz w:val="24"/>
          <w:szCs w:val="24"/>
        </w:rPr>
        <w:t>802/2006 e dá outras providências correlatas.</w:t>
      </w:r>
    </w:p>
    <w:p w:rsidR="000F4137" w:rsidRDefault="000F4137" w:rsidP="008E7AA5">
      <w:pPr>
        <w:autoSpaceDE w:val="0"/>
        <w:autoSpaceDN w:val="0"/>
        <w:adjustRightInd w:val="0"/>
        <w:ind w:left="5670"/>
        <w:jc w:val="both"/>
        <w:rPr>
          <w:rFonts w:ascii="Arial" w:hAnsi="Arial" w:cs="Arial"/>
          <w:sz w:val="20"/>
          <w:szCs w:val="20"/>
        </w:rPr>
      </w:pPr>
    </w:p>
    <w:p w:rsidR="000F4137" w:rsidRPr="000F4137" w:rsidRDefault="000F4137" w:rsidP="008E7AA5">
      <w:pPr>
        <w:pStyle w:val="Corpodetexto"/>
        <w:spacing w:after="0" w:line="276" w:lineRule="auto"/>
        <w:rPr>
          <w:rFonts w:cs="Arial"/>
          <w:sz w:val="24"/>
          <w:szCs w:val="24"/>
        </w:rPr>
      </w:pPr>
      <w:r w:rsidRPr="000F4137">
        <w:rPr>
          <w:rFonts w:cs="Arial"/>
          <w:b/>
          <w:sz w:val="24"/>
          <w:szCs w:val="24"/>
        </w:rPr>
        <w:t>NELI LEÃO DO PRADO</w:t>
      </w:r>
      <w:r w:rsidRPr="000F4137">
        <w:rPr>
          <w:rFonts w:cs="Arial"/>
          <w:sz w:val="24"/>
          <w:szCs w:val="24"/>
        </w:rPr>
        <w:t>, Prefeita do Município de Fortaleza de Minas, Minas Gerais, no uso das atribuições que lhe são conferidas pela Lei Orgânica Municipal, em seus artigos 69, inciso III e 120, propõe a seguinte Lei:</w:t>
      </w:r>
    </w:p>
    <w:p w:rsidR="008E7AA5" w:rsidRPr="008E7AA5" w:rsidRDefault="008E7AA5" w:rsidP="008E7AA5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</w:rPr>
        <w:tab/>
      </w:r>
      <w:hyperlink r:id="rId7" w:anchor="artigos" w:history="1">
        <w:r w:rsidRPr="008E7AA5">
          <w:rPr>
            <w:rFonts w:ascii="Arial" w:eastAsia="Times New Roman" w:hAnsi="Arial" w:cs="Arial"/>
            <w:b/>
            <w:sz w:val="24"/>
            <w:szCs w:val="24"/>
            <w:lang w:eastAsia="pt-BR"/>
          </w:rPr>
          <w:t>Art. 1º</w:t>
        </w:r>
      </w:hyperlink>
      <w:r w:rsidRPr="008E7AA5">
        <w:rPr>
          <w:rFonts w:ascii="Arial" w:eastAsia="Times New Roman" w:hAnsi="Arial" w:cs="Arial"/>
          <w:sz w:val="24"/>
          <w:szCs w:val="24"/>
          <w:lang w:eastAsia="pt-BR"/>
        </w:rPr>
        <w:t xml:space="preserve"> - Esta Lei Complementar regulamenta a concessão de aposentadoria da pessoa com deficiência segurada do Regime Próprio de Previdência Social dos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8E7AA5">
        <w:rPr>
          <w:rFonts w:ascii="Arial" w:eastAsia="Times New Roman" w:hAnsi="Arial" w:cs="Arial"/>
          <w:sz w:val="24"/>
          <w:szCs w:val="24"/>
          <w:lang w:eastAsia="pt-BR"/>
        </w:rPr>
        <w:t xml:space="preserve">Servidores do Município de Fortaleza de Minas, reestruturado pela Lei Municipal </w:t>
      </w:r>
      <w:r w:rsidRPr="008E7AA5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º 802 DE 11 DE JANEIRO DE 2006,</w:t>
      </w:r>
      <w:r w:rsidRPr="008E7AA5">
        <w:rPr>
          <w:rFonts w:ascii="Arial" w:eastAsia="Times New Roman" w:hAnsi="Arial" w:cs="Arial"/>
          <w:sz w:val="24"/>
          <w:szCs w:val="24"/>
          <w:lang w:eastAsia="pt-BR"/>
        </w:rPr>
        <w:t xml:space="preserve"> de que trata o § 1º do art. 201 da Constituição Federal.</w:t>
      </w:r>
    </w:p>
    <w:p w:rsidR="008E7AA5" w:rsidRPr="008E7AA5" w:rsidRDefault="008E7AA5" w:rsidP="008E7AA5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</w:rPr>
        <w:tab/>
      </w:r>
      <w:hyperlink r:id="rId8" w:anchor="artigos" w:history="1">
        <w:r w:rsidRPr="008E7AA5">
          <w:rPr>
            <w:rFonts w:ascii="Arial" w:eastAsia="Times New Roman" w:hAnsi="Arial" w:cs="Arial"/>
            <w:b/>
            <w:sz w:val="24"/>
            <w:szCs w:val="24"/>
            <w:lang w:eastAsia="pt-BR"/>
          </w:rPr>
          <w:t>Art. 2º</w:t>
        </w:r>
      </w:hyperlink>
      <w:r w:rsidRPr="008E7AA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8E7AA5">
        <w:rPr>
          <w:rFonts w:ascii="Arial" w:eastAsia="Times New Roman" w:hAnsi="Arial" w:cs="Arial"/>
          <w:sz w:val="24"/>
          <w:szCs w:val="24"/>
          <w:lang w:eastAsia="pt-BR"/>
        </w:rPr>
        <w:t>- Para o reconhecimento do direito à aposentadoria de que trata esta Lei Complementar, considera-se pessoa com deficiência o servidor público efetivo devidamente inscrito como segurado do IMPRESFORT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8E7AA5">
        <w:rPr>
          <w:rFonts w:ascii="Arial" w:eastAsia="Times New Roman" w:hAnsi="Arial" w:cs="Arial"/>
          <w:sz w:val="24"/>
          <w:szCs w:val="24"/>
          <w:lang w:eastAsia="pt-BR"/>
        </w:rPr>
        <w:t>que tem impedimentos de longo prazo de natureza física, mental, intelectual ou sensorial, os quais, em interação com diversas barreiras, podem obstruir sua participação plena e efetiva na sociedade em igualdade de condições com as demais pessoas.</w:t>
      </w:r>
    </w:p>
    <w:p w:rsidR="008E7AA5" w:rsidRPr="008E7AA5" w:rsidRDefault="008E7AA5" w:rsidP="008E7AA5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</w:rPr>
        <w:tab/>
      </w:r>
      <w:hyperlink r:id="rId9" w:anchor="artigos" w:history="1">
        <w:r w:rsidRPr="008E7AA5">
          <w:rPr>
            <w:rFonts w:ascii="Arial" w:eastAsia="Times New Roman" w:hAnsi="Arial" w:cs="Arial"/>
            <w:b/>
            <w:sz w:val="24"/>
            <w:szCs w:val="24"/>
            <w:lang w:eastAsia="pt-BR"/>
          </w:rPr>
          <w:t>Art. 3º</w:t>
        </w:r>
      </w:hyperlink>
      <w:r w:rsidRPr="008E7AA5">
        <w:rPr>
          <w:rFonts w:ascii="Arial" w:eastAsia="Times New Roman" w:hAnsi="Arial" w:cs="Arial"/>
          <w:sz w:val="24"/>
          <w:szCs w:val="24"/>
          <w:lang w:eastAsia="pt-BR"/>
        </w:rPr>
        <w:t xml:space="preserve"> - É assegurada a concessão de aposentadoria pelo IMPRESFORT ao segurado com deficiência, observadas as seguintes condições:</w:t>
      </w:r>
    </w:p>
    <w:p w:rsidR="008E7AA5" w:rsidRPr="008E7AA5" w:rsidRDefault="008E7AA5" w:rsidP="008E7AA5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E7AA5">
        <w:rPr>
          <w:rFonts w:ascii="Arial" w:eastAsia="Times New Roman" w:hAnsi="Arial" w:cs="Arial"/>
          <w:sz w:val="24"/>
          <w:szCs w:val="24"/>
          <w:lang w:eastAsia="pt-BR"/>
        </w:rPr>
        <w:t>I - aos 25 (vinte e cinco) anos de tempo de contribuição, se homem, e 20 (vinte) anos, se mulher, no caso de segurado com deficiência grave;</w:t>
      </w:r>
    </w:p>
    <w:p w:rsidR="008E7AA5" w:rsidRPr="008E7AA5" w:rsidRDefault="008E7AA5" w:rsidP="008E7AA5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E7AA5">
        <w:rPr>
          <w:rFonts w:ascii="Arial" w:eastAsia="Times New Roman" w:hAnsi="Arial" w:cs="Arial"/>
          <w:sz w:val="24"/>
          <w:szCs w:val="24"/>
          <w:lang w:eastAsia="pt-BR"/>
        </w:rPr>
        <w:t>II - aos 29 (vinte e nove) anos de tempo de contribuição, se homem, e 24 (vinte e quatro) anos, se mulher, no caso de segurado com deficiência moderada;</w:t>
      </w:r>
    </w:p>
    <w:p w:rsidR="008E7AA5" w:rsidRPr="008E7AA5" w:rsidRDefault="008E7AA5" w:rsidP="008E7AA5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E7AA5">
        <w:rPr>
          <w:rFonts w:ascii="Arial" w:eastAsia="Times New Roman" w:hAnsi="Arial" w:cs="Arial"/>
          <w:sz w:val="24"/>
          <w:szCs w:val="24"/>
          <w:lang w:eastAsia="pt-BR"/>
        </w:rPr>
        <w:t>III - aos 33 (trinta e três) anos de tempo de contribuição, se homem, e 28 (vinte e oito) anos, se mulher, no caso de segurado com deficiência leve; ou</w:t>
      </w:r>
    </w:p>
    <w:p w:rsidR="008E7AA5" w:rsidRPr="008E7AA5" w:rsidRDefault="008E7AA5" w:rsidP="008E7AA5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E7AA5">
        <w:rPr>
          <w:rFonts w:ascii="Arial" w:eastAsia="Times New Roman" w:hAnsi="Arial" w:cs="Arial"/>
          <w:sz w:val="24"/>
          <w:szCs w:val="24"/>
          <w:lang w:eastAsia="pt-BR"/>
        </w:rPr>
        <w:t>IV - aos 60 (sessenta) anos</w:t>
      </w:r>
      <w:r w:rsidR="00A01C4D">
        <w:rPr>
          <w:rFonts w:ascii="Arial" w:eastAsia="Times New Roman" w:hAnsi="Arial" w:cs="Arial"/>
          <w:sz w:val="24"/>
          <w:szCs w:val="24"/>
          <w:lang w:eastAsia="pt-BR"/>
        </w:rPr>
        <w:t xml:space="preserve"> de idade, se homem, e 55 (cinqu</w:t>
      </w:r>
      <w:bookmarkStart w:id="0" w:name="_GoBack"/>
      <w:bookmarkEnd w:id="0"/>
      <w:r w:rsidRPr="008E7AA5">
        <w:rPr>
          <w:rFonts w:ascii="Arial" w:eastAsia="Times New Roman" w:hAnsi="Arial" w:cs="Arial"/>
          <w:sz w:val="24"/>
          <w:szCs w:val="24"/>
          <w:lang w:eastAsia="pt-BR"/>
        </w:rPr>
        <w:t xml:space="preserve">enta e cinco) anos de idade, se mulher, independentemente do grau de deficiência, desde que </w:t>
      </w:r>
      <w:r w:rsidRPr="008E7AA5">
        <w:rPr>
          <w:rFonts w:ascii="Arial" w:eastAsia="Times New Roman" w:hAnsi="Arial" w:cs="Arial"/>
          <w:sz w:val="24"/>
          <w:szCs w:val="24"/>
          <w:lang w:eastAsia="pt-BR"/>
        </w:rPr>
        <w:lastRenderedPageBreak/>
        <w:t>cumprido tempo mínimo de contribuição de 15 (quinze) anos e comprovada a existência de deficiência durante igual período.</w:t>
      </w:r>
    </w:p>
    <w:p w:rsidR="008E7AA5" w:rsidRPr="008E7AA5" w:rsidRDefault="008E7AA5" w:rsidP="008E7AA5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ab/>
      </w:r>
      <w:r w:rsidRPr="008E7AA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Parágrafo único</w:t>
      </w:r>
      <w:r w:rsidRPr="008E7AA5">
        <w:rPr>
          <w:rFonts w:ascii="Arial" w:eastAsia="Times New Roman" w:hAnsi="Arial" w:cs="Arial"/>
          <w:sz w:val="24"/>
          <w:szCs w:val="24"/>
          <w:lang w:eastAsia="pt-BR"/>
        </w:rPr>
        <w:t>–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8E7AA5">
        <w:rPr>
          <w:rFonts w:ascii="Arial" w:eastAsia="Times New Roman" w:hAnsi="Arial" w:cs="Arial"/>
          <w:sz w:val="24"/>
          <w:szCs w:val="24"/>
          <w:lang w:eastAsia="pt-BR"/>
        </w:rPr>
        <w:t>o IMPRESFORT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obe</w:t>
      </w:r>
      <w:r w:rsidRPr="008E7AA5">
        <w:rPr>
          <w:rFonts w:ascii="Arial" w:eastAsia="Times New Roman" w:hAnsi="Arial" w:cs="Arial"/>
          <w:sz w:val="24"/>
          <w:szCs w:val="24"/>
          <w:lang w:eastAsia="pt-BR"/>
        </w:rPr>
        <w:t>decerá às regras do Regime Geral de Previdência Social, para definição das deficiências grave, moderada e leve para os fins desta Lei Complementar.</w:t>
      </w:r>
    </w:p>
    <w:p w:rsidR="008E7AA5" w:rsidRPr="008E7AA5" w:rsidRDefault="008E7AA5" w:rsidP="008E7AA5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</w:rPr>
        <w:tab/>
      </w:r>
      <w:hyperlink r:id="rId10" w:anchor="artigos" w:history="1">
        <w:r w:rsidRPr="008E7AA5">
          <w:rPr>
            <w:rFonts w:ascii="Arial" w:eastAsia="Times New Roman" w:hAnsi="Arial" w:cs="Arial"/>
            <w:b/>
            <w:sz w:val="24"/>
            <w:szCs w:val="24"/>
            <w:lang w:eastAsia="pt-BR"/>
          </w:rPr>
          <w:t>Art. 4º</w:t>
        </w:r>
      </w:hyperlink>
      <w:r w:rsidRPr="008E7AA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8E7AA5">
        <w:rPr>
          <w:rFonts w:ascii="Arial" w:eastAsia="Times New Roman" w:hAnsi="Arial" w:cs="Arial"/>
          <w:sz w:val="24"/>
          <w:szCs w:val="24"/>
          <w:lang w:eastAsia="pt-BR"/>
        </w:rPr>
        <w:t xml:space="preserve">- A avaliação da deficiência será médica e funcional. </w:t>
      </w:r>
    </w:p>
    <w:p w:rsidR="008E7AA5" w:rsidRPr="008E7AA5" w:rsidRDefault="008E7AA5" w:rsidP="008E7AA5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</w:rPr>
        <w:tab/>
      </w:r>
      <w:hyperlink r:id="rId11" w:anchor="artigos" w:history="1">
        <w:r w:rsidRPr="008E7AA5">
          <w:rPr>
            <w:rFonts w:ascii="Arial" w:eastAsia="Times New Roman" w:hAnsi="Arial" w:cs="Arial"/>
            <w:b/>
            <w:sz w:val="24"/>
            <w:szCs w:val="24"/>
            <w:lang w:eastAsia="pt-BR"/>
          </w:rPr>
          <w:t>Art. 5º</w:t>
        </w:r>
      </w:hyperlink>
      <w:r w:rsidRPr="008E7AA5">
        <w:rPr>
          <w:rFonts w:ascii="Arial" w:eastAsia="Times New Roman" w:hAnsi="Arial" w:cs="Arial"/>
          <w:sz w:val="24"/>
          <w:szCs w:val="24"/>
          <w:lang w:eastAsia="pt-BR"/>
        </w:rPr>
        <w:t xml:space="preserve"> - O grau de deficiência será atestado por perícia própria do IMPRESFORT.</w:t>
      </w:r>
    </w:p>
    <w:p w:rsidR="008E7AA5" w:rsidRPr="008E7AA5" w:rsidRDefault="008E7AA5" w:rsidP="008E7AA5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</w:rPr>
        <w:tab/>
      </w:r>
      <w:hyperlink r:id="rId12" w:anchor="artigos" w:history="1">
        <w:r w:rsidRPr="008E7AA5">
          <w:rPr>
            <w:rFonts w:ascii="Arial" w:eastAsia="Times New Roman" w:hAnsi="Arial" w:cs="Arial"/>
            <w:b/>
            <w:sz w:val="24"/>
            <w:szCs w:val="24"/>
            <w:lang w:eastAsia="pt-BR"/>
          </w:rPr>
          <w:t>Art. 6º</w:t>
        </w:r>
      </w:hyperlink>
      <w:r w:rsidRPr="008E7AA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8E7AA5">
        <w:rPr>
          <w:rFonts w:ascii="Arial" w:eastAsia="Times New Roman" w:hAnsi="Arial" w:cs="Arial"/>
          <w:sz w:val="24"/>
          <w:szCs w:val="24"/>
          <w:lang w:eastAsia="pt-BR"/>
        </w:rPr>
        <w:t>- A contagem de tempo de contribuição na condição de segurado com deficiência será objeto de comprovação, exclusivamente, na forma desta Lei Complementar.</w:t>
      </w:r>
    </w:p>
    <w:p w:rsidR="008E7AA5" w:rsidRPr="008E7AA5" w:rsidRDefault="008E7AA5" w:rsidP="008E7AA5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E7AA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§ 1º</w:t>
      </w:r>
      <w:r w:rsidRPr="008E7AA5">
        <w:rPr>
          <w:rFonts w:ascii="Arial" w:eastAsia="Times New Roman" w:hAnsi="Arial" w:cs="Arial"/>
          <w:sz w:val="24"/>
          <w:szCs w:val="24"/>
          <w:lang w:eastAsia="pt-BR"/>
        </w:rPr>
        <w:t xml:space="preserve"> - A existência de deficiência anterior à data da vigência desta Lei Complementar deverá ser certificada, inclusive quanto ao seu grau, por ocasião da primeira avaliação, sendo obrigatória a fixação da data provável do início da deficiência.</w:t>
      </w:r>
    </w:p>
    <w:p w:rsidR="008E7AA5" w:rsidRPr="008E7AA5" w:rsidRDefault="008E7AA5" w:rsidP="008E7AA5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E7AA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§ 2º</w:t>
      </w:r>
      <w:r w:rsidRPr="008E7AA5">
        <w:rPr>
          <w:rFonts w:ascii="Arial" w:eastAsia="Times New Roman" w:hAnsi="Arial" w:cs="Arial"/>
          <w:sz w:val="24"/>
          <w:szCs w:val="24"/>
          <w:lang w:eastAsia="pt-BR"/>
        </w:rPr>
        <w:t xml:space="preserve"> - A comprovação de tempo de contribuição na condição de segurado com deficiência em período anterior à entrada em vigor desta Lei Complementar não será admitida por meio de prova exclusivamente testemunhal.</w:t>
      </w:r>
    </w:p>
    <w:p w:rsidR="008E7AA5" w:rsidRPr="008E7AA5" w:rsidRDefault="008E7AA5" w:rsidP="008E7AA5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E7AA5">
        <w:rPr>
          <w:rFonts w:ascii="Arial" w:eastAsia="Times New Roman" w:hAnsi="Arial" w:cs="Arial"/>
          <w:sz w:val="24"/>
          <w:szCs w:val="24"/>
          <w:lang w:eastAsia="pt-BR"/>
        </w:rPr>
        <w:t>§ 3° - A contagem de tempo de contribuição na condição de segurado com deficiência será efetuada na forma da legislação federal que rege esta espécie de aposentadoria para segurados do RGPS.</w:t>
      </w:r>
    </w:p>
    <w:p w:rsidR="008E7AA5" w:rsidRPr="008E7AA5" w:rsidRDefault="008E7AA5" w:rsidP="008E7AA5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</w:rPr>
        <w:tab/>
      </w:r>
      <w:hyperlink r:id="rId13" w:anchor="artigos" w:history="1">
        <w:r w:rsidRPr="008E7AA5">
          <w:rPr>
            <w:rFonts w:ascii="Arial" w:eastAsia="Times New Roman" w:hAnsi="Arial" w:cs="Arial"/>
            <w:b/>
            <w:sz w:val="24"/>
            <w:szCs w:val="24"/>
            <w:lang w:eastAsia="pt-BR"/>
          </w:rPr>
          <w:t>Art. 7º</w:t>
        </w:r>
      </w:hyperlink>
      <w:r w:rsidRPr="008E7AA5">
        <w:rPr>
          <w:rFonts w:ascii="Arial" w:eastAsia="Times New Roman" w:hAnsi="Arial" w:cs="Arial"/>
          <w:sz w:val="24"/>
          <w:szCs w:val="24"/>
          <w:lang w:eastAsia="pt-BR"/>
        </w:rPr>
        <w:t xml:space="preserve"> - Se o segurado, após a filiação ao IMPRESFORT, tornar-se pessoa com deficiência, ou tiver seu grau de deficiência alterado, os parâmetros mencionados no art. 3º serão proporcionalmente ajustados, considerando-se o número de anos em que o segurado exerceu atividade laboral sem deficiência e com deficiência, observado o grau de deficiência correspondente, nos termos do regulamento a que se refere o parágrafo único do art. 3º desta Lei Complementar.</w:t>
      </w:r>
    </w:p>
    <w:p w:rsidR="008E7AA5" w:rsidRPr="008E7AA5" w:rsidRDefault="008E7AA5" w:rsidP="008E7AA5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</w:rPr>
        <w:tab/>
      </w:r>
      <w:hyperlink r:id="rId14" w:anchor="artigos" w:history="1">
        <w:r w:rsidRPr="008E7AA5">
          <w:rPr>
            <w:rFonts w:ascii="Arial" w:eastAsia="Times New Roman" w:hAnsi="Arial" w:cs="Arial"/>
            <w:b/>
            <w:sz w:val="24"/>
            <w:szCs w:val="24"/>
            <w:lang w:eastAsia="pt-BR"/>
          </w:rPr>
          <w:t>Art. 8º</w:t>
        </w:r>
      </w:hyperlink>
      <w:r w:rsidRPr="008E7AA5">
        <w:rPr>
          <w:rFonts w:ascii="Arial" w:eastAsia="Times New Roman" w:hAnsi="Arial" w:cs="Arial"/>
          <w:sz w:val="24"/>
          <w:szCs w:val="24"/>
          <w:lang w:eastAsia="pt-BR"/>
        </w:rPr>
        <w:t xml:space="preserve"> - A renda mensal da aposentadoria devida ao segurado com deficiência será calculada na forma prevista na Lei Municipal 802/2006. </w:t>
      </w:r>
    </w:p>
    <w:p w:rsidR="008E7AA5" w:rsidRPr="008E7AA5" w:rsidRDefault="008E7AA5" w:rsidP="008E7AA5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</w:rPr>
        <w:tab/>
      </w:r>
      <w:hyperlink r:id="rId15" w:anchor="artigos" w:history="1">
        <w:r w:rsidRPr="008E7AA5">
          <w:rPr>
            <w:rFonts w:ascii="Arial" w:eastAsia="Times New Roman" w:hAnsi="Arial" w:cs="Arial"/>
            <w:b/>
            <w:sz w:val="24"/>
            <w:szCs w:val="24"/>
            <w:lang w:eastAsia="pt-BR"/>
          </w:rPr>
          <w:t>Art. 9º</w:t>
        </w:r>
      </w:hyperlink>
      <w:r w:rsidRPr="008E7AA5">
        <w:rPr>
          <w:rFonts w:ascii="Arial" w:eastAsia="Times New Roman" w:hAnsi="Arial" w:cs="Arial"/>
          <w:sz w:val="24"/>
          <w:szCs w:val="24"/>
          <w:lang w:eastAsia="pt-BR"/>
        </w:rPr>
        <w:t xml:space="preserve"> - Aplicam-se à pessoa com deficiência de que trata esta Lei Complementar:</w:t>
      </w:r>
    </w:p>
    <w:p w:rsidR="008E7AA5" w:rsidRPr="008E7AA5" w:rsidRDefault="008E7AA5" w:rsidP="008E7AA5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E7AA5">
        <w:rPr>
          <w:rFonts w:ascii="Arial" w:eastAsia="Times New Roman" w:hAnsi="Arial" w:cs="Arial"/>
          <w:sz w:val="24"/>
          <w:szCs w:val="24"/>
          <w:lang w:eastAsia="pt-BR"/>
        </w:rPr>
        <w:lastRenderedPageBreak/>
        <w:t>I - o fator previdenciário nas aposentadorias, se resultar em renda mensal de valor mais elevado;</w:t>
      </w:r>
    </w:p>
    <w:p w:rsidR="008E7AA5" w:rsidRPr="008E7AA5" w:rsidRDefault="008E7AA5" w:rsidP="008E7AA5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E7AA5">
        <w:rPr>
          <w:rFonts w:ascii="Arial" w:eastAsia="Times New Roman" w:hAnsi="Arial" w:cs="Arial"/>
          <w:sz w:val="24"/>
          <w:szCs w:val="24"/>
          <w:lang w:eastAsia="pt-BR"/>
        </w:rPr>
        <w:t>II - a contagem recíproca do tempo de contribuição na condição de segurado com deficiência relativo à filiação ao RGPS, ao regime próprio de previdência do servidor público ou a regime de previdência militar, devendo os regimes compensar-se financeiramente;</w:t>
      </w:r>
    </w:p>
    <w:p w:rsidR="008E7AA5" w:rsidRPr="008E7AA5" w:rsidRDefault="008E7AA5" w:rsidP="008E7AA5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E7AA5">
        <w:rPr>
          <w:rFonts w:ascii="Arial" w:eastAsia="Times New Roman" w:hAnsi="Arial" w:cs="Arial"/>
          <w:sz w:val="24"/>
          <w:szCs w:val="24"/>
          <w:lang w:eastAsia="pt-BR"/>
        </w:rPr>
        <w:t>III - as regras de pagamento e de recolhimento das contribuições previdenciárias contidas na Lei 802/2006;</w:t>
      </w:r>
    </w:p>
    <w:p w:rsidR="008E7AA5" w:rsidRPr="008E7AA5" w:rsidRDefault="008E7AA5" w:rsidP="008E7AA5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E7AA5">
        <w:rPr>
          <w:rFonts w:ascii="Arial" w:eastAsia="Times New Roman" w:hAnsi="Arial" w:cs="Arial"/>
          <w:sz w:val="24"/>
          <w:szCs w:val="24"/>
          <w:lang w:eastAsia="pt-BR"/>
        </w:rPr>
        <w:t>IV - as demais normas relativas aos benefícios do IMPRESFORT;</w:t>
      </w:r>
    </w:p>
    <w:p w:rsidR="008E7AA5" w:rsidRPr="008E7AA5" w:rsidRDefault="008E7AA5" w:rsidP="008E7AA5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E7AA5">
        <w:rPr>
          <w:rFonts w:ascii="Arial" w:eastAsia="Times New Roman" w:hAnsi="Arial" w:cs="Arial"/>
          <w:sz w:val="24"/>
          <w:szCs w:val="24"/>
          <w:lang w:eastAsia="pt-BR"/>
        </w:rPr>
        <w:t>V - a percepção de qualquer outra espécie de aposentadoria estabelecida na Lei 8.213, de 24 de julho de 1991, que lhe seja mais vantajosa do que as opções apresentadas nesta Lei Complementar.</w:t>
      </w:r>
    </w:p>
    <w:p w:rsidR="008E7AA5" w:rsidRPr="008E7AA5" w:rsidRDefault="008E7AA5" w:rsidP="008E7AA5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</w:rPr>
        <w:tab/>
      </w:r>
      <w:hyperlink r:id="rId16" w:anchor="artigos" w:history="1">
        <w:r w:rsidRPr="008E7AA5">
          <w:rPr>
            <w:rFonts w:ascii="Arial" w:eastAsia="Times New Roman" w:hAnsi="Arial" w:cs="Arial"/>
            <w:b/>
            <w:sz w:val="24"/>
            <w:szCs w:val="24"/>
            <w:lang w:eastAsia="pt-BR"/>
          </w:rPr>
          <w:t>Art. 10</w:t>
        </w:r>
      </w:hyperlink>
      <w:r>
        <w:rPr>
          <w:rFonts w:ascii="Arial" w:hAnsi="Arial" w:cs="Arial"/>
          <w:b/>
          <w:sz w:val="24"/>
          <w:szCs w:val="24"/>
        </w:rPr>
        <w:t>°</w:t>
      </w:r>
      <w:r w:rsidRPr="008E7AA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8E7AA5">
        <w:rPr>
          <w:rFonts w:ascii="Arial" w:eastAsia="Times New Roman" w:hAnsi="Arial" w:cs="Arial"/>
          <w:sz w:val="24"/>
          <w:szCs w:val="24"/>
          <w:lang w:eastAsia="pt-BR"/>
        </w:rPr>
        <w:t>- A redução do tempo de contribuição prevista nesta Lei Complementar não poderá ser acumulada, no tocante ao mesmo período contributivo, com a redução assegurada aos casos de atividades exercidas sob condições especiais que prejudiquem a saúde ou a integridade física.</w:t>
      </w:r>
    </w:p>
    <w:p w:rsidR="008E7AA5" w:rsidRPr="008E7AA5" w:rsidRDefault="008E7AA5" w:rsidP="008E7AA5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</w:rPr>
        <w:tab/>
      </w:r>
      <w:hyperlink r:id="rId17" w:anchor="artigos" w:history="1">
        <w:r w:rsidRPr="008E7AA5">
          <w:rPr>
            <w:rFonts w:ascii="Arial" w:eastAsia="Times New Roman" w:hAnsi="Arial" w:cs="Arial"/>
            <w:b/>
            <w:sz w:val="24"/>
            <w:szCs w:val="24"/>
            <w:lang w:eastAsia="pt-BR"/>
          </w:rPr>
          <w:t>Art. 11</w:t>
        </w:r>
      </w:hyperlink>
      <w:r>
        <w:rPr>
          <w:rFonts w:ascii="Arial" w:hAnsi="Arial" w:cs="Arial"/>
          <w:b/>
          <w:sz w:val="24"/>
          <w:szCs w:val="24"/>
        </w:rPr>
        <w:t>°</w:t>
      </w:r>
      <w:r w:rsidRPr="008E7AA5">
        <w:rPr>
          <w:rFonts w:ascii="Arial" w:eastAsia="Times New Roman" w:hAnsi="Arial" w:cs="Arial"/>
          <w:sz w:val="24"/>
          <w:szCs w:val="24"/>
          <w:lang w:eastAsia="pt-BR"/>
        </w:rPr>
        <w:t xml:space="preserve"> - Esta Lei Complementar entra em vigor na data de sua publicação. </w:t>
      </w:r>
    </w:p>
    <w:p w:rsidR="000F4137" w:rsidRPr="000F4137" w:rsidRDefault="000F4137" w:rsidP="008E7AA5">
      <w:pPr>
        <w:jc w:val="both"/>
        <w:rPr>
          <w:rFonts w:ascii="Arial" w:hAnsi="Arial" w:cs="Arial"/>
          <w:b/>
          <w:sz w:val="24"/>
          <w:szCs w:val="24"/>
        </w:rPr>
      </w:pPr>
    </w:p>
    <w:p w:rsidR="000F4137" w:rsidRDefault="000F4137" w:rsidP="008E7AA5">
      <w:pPr>
        <w:jc w:val="both"/>
        <w:rPr>
          <w:rFonts w:ascii="Arial" w:hAnsi="Arial" w:cs="Arial"/>
          <w:sz w:val="24"/>
          <w:szCs w:val="24"/>
        </w:rPr>
      </w:pPr>
      <w:r w:rsidRPr="000F4137">
        <w:rPr>
          <w:rFonts w:ascii="Arial" w:hAnsi="Arial" w:cs="Arial"/>
          <w:sz w:val="24"/>
          <w:szCs w:val="24"/>
        </w:rPr>
        <w:tab/>
        <w:t xml:space="preserve">Fortaleza de Minas (MG) </w:t>
      </w:r>
      <w:r w:rsidR="009B24FB">
        <w:rPr>
          <w:rFonts w:ascii="Arial" w:hAnsi="Arial" w:cs="Arial"/>
          <w:sz w:val="24"/>
          <w:szCs w:val="24"/>
        </w:rPr>
        <w:t>16</w:t>
      </w:r>
      <w:r w:rsidR="008E7AA5">
        <w:rPr>
          <w:rFonts w:ascii="Arial" w:hAnsi="Arial" w:cs="Arial"/>
          <w:sz w:val="24"/>
          <w:szCs w:val="24"/>
        </w:rPr>
        <w:t xml:space="preserve"> de </w:t>
      </w:r>
      <w:r w:rsidR="00943053">
        <w:rPr>
          <w:rFonts w:ascii="Arial" w:hAnsi="Arial" w:cs="Arial"/>
          <w:sz w:val="24"/>
          <w:szCs w:val="24"/>
        </w:rPr>
        <w:t>novembro</w:t>
      </w:r>
      <w:r w:rsidR="008E7AA5">
        <w:rPr>
          <w:rFonts w:ascii="Arial" w:hAnsi="Arial" w:cs="Arial"/>
          <w:sz w:val="24"/>
          <w:szCs w:val="24"/>
        </w:rPr>
        <w:t xml:space="preserve"> de 2016</w:t>
      </w:r>
    </w:p>
    <w:p w:rsidR="008813BA" w:rsidRDefault="008813BA" w:rsidP="008E7AA5">
      <w:pPr>
        <w:jc w:val="both"/>
        <w:rPr>
          <w:rFonts w:ascii="Arial" w:hAnsi="Arial" w:cs="Arial"/>
          <w:sz w:val="24"/>
          <w:szCs w:val="24"/>
        </w:rPr>
      </w:pPr>
    </w:p>
    <w:p w:rsidR="00E975F3" w:rsidRDefault="00E975F3" w:rsidP="008E7AA5">
      <w:pPr>
        <w:jc w:val="both"/>
        <w:rPr>
          <w:rFonts w:ascii="Arial" w:hAnsi="Arial" w:cs="Arial"/>
          <w:sz w:val="24"/>
          <w:szCs w:val="24"/>
        </w:rPr>
      </w:pPr>
    </w:p>
    <w:p w:rsidR="008813BA" w:rsidRPr="00E05623" w:rsidRDefault="008813BA" w:rsidP="00E975F3">
      <w:pPr>
        <w:spacing w:line="360" w:lineRule="auto"/>
        <w:jc w:val="center"/>
        <w:rPr>
          <w:rFonts w:ascii="Cambria" w:eastAsia="Arial Unicode MS" w:hAnsi="Cambria"/>
          <w:b/>
        </w:rPr>
      </w:pPr>
      <w:r w:rsidRPr="00E05623">
        <w:rPr>
          <w:rFonts w:ascii="Cambria" w:eastAsia="Arial Unicode MS" w:hAnsi="Cambria"/>
          <w:b/>
        </w:rPr>
        <w:t>JURUBEL HONORATO REIS</w:t>
      </w:r>
      <w:r w:rsidRPr="00F2289F">
        <w:rPr>
          <w:rFonts w:ascii="Cambria" w:eastAsia="Arial Unicode MS" w:hAnsi="Cambria"/>
          <w:b/>
        </w:rPr>
        <w:t xml:space="preserve"> </w:t>
      </w:r>
      <w:r>
        <w:rPr>
          <w:rFonts w:ascii="Cambria" w:eastAsia="Arial Unicode MS" w:hAnsi="Cambria"/>
          <w:b/>
        </w:rPr>
        <w:t xml:space="preserve">                         </w:t>
      </w:r>
      <w:r w:rsidRPr="00E05623">
        <w:rPr>
          <w:rFonts w:ascii="Cambria" w:eastAsia="Arial Unicode MS" w:hAnsi="Cambria"/>
          <w:b/>
        </w:rPr>
        <w:t>ADENILSON QUEIROZ</w:t>
      </w:r>
    </w:p>
    <w:p w:rsidR="008813BA" w:rsidRDefault="008813BA" w:rsidP="00E975F3">
      <w:pPr>
        <w:spacing w:line="360" w:lineRule="auto"/>
        <w:jc w:val="center"/>
        <w:rPr>
          <w:rFonts w:ascii="Cambria" w:eastAsia="Arial Unicode MS" w:hAnsi="Cambria"/>
          <w:b/>
        </w:rPr>
      </w:pPr>
      <w:r w:rsidRPr="00E05623">
        <w:rPr>
          <w:rFonts w:ascii="Cambria" w:eastAsia="Arial Unicode MS" w:hAnsi="Cambria"/>
          <w:b/>
        </w:rPr>
        <w:t>PRESIDENTE</w:t>
      </w:r>
      <w:r>
        <w:rPr>
          <w:rFonts w:ascii="Cambria" w:eastAsia="Arial Unicode MS" w:hAnsi="Cambria"/>
          <w:b/>
        </w:rPr>
        <w:t xml:space="preserve">                                                 </w:t>
      </w:r>
      <w:r w:rsidRPr="00E05623">
        <w:rPr>
          <w:rFonts w:ascii="Cambria" w:eastAsia="Arial Unicode MS" w:hAnsi="Cambria"/>
          <w:b/>
        </w:rPr>
        <w:t>VICE- PRESIDENTE</w:t>
      </w:r>
    </w:p>
    <w:p w:rsidR="008813BA" w:rsidRPr="00E05623" w:rsidRDefault="008813BA" w:rsidP="00E975F3">
      <w:pPr>
        <w:spacing w:line="360" w:lineRule="auto"/>
        <w:jc w:val="center"/>
        <w:rPr>
          <w:rFonts w:ascii="Cambria" w:eastAsia="Arial Unicode MS" w:hAnsi="Cambria"/>
          <w:b/>
        </w:rPr>
      </w:pPr>
    </w:p>
    <w:p w:rsidR="008813BA" w:rsidRPr="00E05623" w:rsidRDefault="008813BA" w:rsidP="00E975F3">
      <w:pPr>
        <w:spacing w:line="360" w:lineRule="auto"/>
        <w:jc w:val="center"/>
        <w:rPr>
          <w:rFonts w:ascii="Cambria" w:eastAsia="Arial Unicode MS" w:hAnsi="Cambria"/>
          <w:b/>
        </w:rPr>
      </w:pPr>
    </w:p>
    <w:p w:rsidR="008813BA" w:rsidRPr="00E05623" w:rsidRDefault="008813BA" w:rsidP="00E975F3">
      <w:pPr>
        <w:spacing w:line="360" w:lineRule="auto"/>
        <w:jc w:val="center"/>
        <w:rPr>
          <w:rFonts w:ascii="Cambria" w:eastAsia="Arial Unicode MS" w:hAnsi="Cambria"/>
          <w:b/>
        </w:rPr>
      </w:pPr>
      <w:r w:rsidRPr="00E05623">
        <w:rPr>
          <w:rFonts w:ascii="Cambria" w:eastAsia="Arial Unicode MS" w:hAnsi="Cambria"/>
          <w:b/>
        </w:rPr>
        <w:t>MARCIO DOMINGUES DE ANDRADE</w:t>
      </w:r>
    </w:p>
    <w:p w:rsidR="008813BA" w:rsidRPr="00E05623" w:rsidRDefault="008813BA" w:rsidP="00E975F3">
      <w:pPr>
        <w:spacing w:line="360" w:lineRule="auto"/>
        <w:jc w:val="center"/>
        <w:rPr>
          <w:rFonts w:ascii="Cambria" w:eastAsia="Arial Unicode MS" w:hAnsi="Cambria"/>
        </w:rPr>
      </w:pPr>
      <w:r w:rsidRPr="00E05623">
        <w:rPr>
          <w:rFonts w:ascii="Cambria" w:eastAsia="Arial Unicode MS" w:hAnsi="Cambria"/>
          <w:b/>
        </w:rPr>
        <w:t>SECRETÁRIO</w:t>
      </w:r>
    </w:p>
    <w:p w:rsidR="008813BA" w:rsidRPr="000F4137" w:rsidRDefault="008813BA" w:rsidP="008E7AA5">
      <w:pPr>
        <w:jc w:val="both"/>
        <w:rPr>
          <w:rFonts w:ascii="Arial" w:hAnsi="Arial" w:cs="Arial"/>
          <w:sz w:val="24"/>
          <w:szCs w:val="24"/>
        </w:rPr>
      </w:pPr>
    </w:p>
    <w:p w:rsidR="000F4137" w:rsidRDefault="000F4137" w:rsidP="008E7AA5">
      <w:pPr>
        <w:jc w:val="center"/>
        <w:rPr>
          <w:rFonts w:ascii="Arial" w:hAnsi="Arial" w:cs="Arial"/>
          <w:b/>
          <w:sz w:val="24"/>
          <w:szCs w:val="24"/>
        </w:rPr>
      </w:pPr>
    </w:p>
    <w:p w:rsidR="008E7AA5" w:rsidRPr="000F4137" w:rsidRDefault="008E7AA5" w:rsidP="008E7AA5">
      <w:pPr>
        <w:jc w:val="center"/>
        <w:rPr>
          <w:rFonts w:ascii="Arial" w:hAnsi="Arial" w:cs="Arial"/>
          <w:b/>
          <w:sz w:val="24"/>
          <w:szCs w:val="24"/>
        </w:rPr>
      </w:pPr>
    </w:p>
    <w:p w:rsidR="008E7AA5" w:rsidRDefault="008E7AA5" w:rsidP="008E7AA5">
      <w:pPr>
        <w:spacing w:after="0"/>
        <w:jc w:val="center"/>
        <w:rPr>
          <w:sz w:val="24"/>
          <w:szCs w:val="24"/>
        </w:rPr>
      </w:pPr>
    </w:p>
    <w:p w:rsidR="000F4137" w:rsidRDefault="000F4137" w:rsidP="008E7AA5">
      <w:pPr>
        <w:spacing w:after="0"/>
        <w:jc w:val="both"/>
      </w:pPr>
    </w:p>
    <w:p w:rsidR="000F4137" w:rsidRPr="000F4137" w:rsidRDefault="000F4137" w:rsidP="008E7AA5">
      <w:pPr>
        <w:jc w:val="both"/>
        <w:rPr>
          <w:rFonts w:ascii="Arial" w:hAnsi="Arial" w:cs="Arial"/>
          <w:sz w:val="24"/>
          <w:szCs w:val="24"/>
        </w:rPr>
      </w:pPr>
    </w:p>
    <w:p w:rsidR="000F4137" w:rsidRPr="000F4137" w:rsidRDefault="000F4137" w:rsidP="008E7AA5">
      <w:pPr>
        <w:jc w:val="both"/>
        <w:rPr>
          <w:rFonts w:ascii="Arial" w:hAnsi="Arial" w:cs="Arial"/>
          <w:sz w:val="24"/>
          <w:szCs w:val="24"/>
        </w:rPr>
      </w:pPr>
    </w:p>
    <w:p w:rsidR="000F4137" w:rsidRPr="000F4137" w:rsidRDefault="000F4137" w:rsidP="008E7AA5">
      <w:pPr>
        <w:jc w:val="both"/>
        <w:rPr>
          <w:rFonts w:ascii="Arial" w:hAnsi="Arial" w:cs="Arial"/>
          <w:sz w:val="24"/>
          <w:szCs w:val="24"/>
        </w:rPr>
      </w:pPr>
    </w:p>
    <w:p w:rsidR="000F4137" w:rsidRPr="000F4137" w:rsidRDefault="00A73D31" w:rsidP="00B716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F4137" w:rsidRPr="000F4137" w:rsidRDefault="000F4137" w:rsidP="00B71612">
      <w:pPr>
        <w:jc w:val="both"/>
        <w:rPr>
          <w:sz w:val="24"/>
          <w:szCs w:val="24"/>
        </w:rPr>
      </w:pPr>
      <w:r w:rsidRPr="000F4137">
        <w:rPr>
          <w:rFonts w:ascii="Arial" w:hAnsi="Arial" w:cs="Arial"/>
          <w:sz w:val="24"/>
          <w:szCs w:val="24"/>
        </w:rPr>
        <w:tab/>
      </w:r>
    </w:p>
    <w:p w:rsidR="000F4137" w:rsidRPr="000F4137" w:rsidRDefault="000F4137" w:rsidP="008E7AA5">
      <w:pPr>
        <w:jc w:val="both"/>
        <w:rPr>
          <w:rFonts w:ascii="Arial" w:hAnsi="Arial" w:cs="Arial"/>
          <w:b/>
          <w:sz w:val="24"/>
          <w:szCs w:val="24"/>
        </w:rPr>
      </w:pPr>
    </w:p>
    <w:sectPr w:rsidR="000F4137" w:rsidRPr="000F4137" w:rsidSect="00725749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2693" w:right="1134" w:bottom="851" w:left="2268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927" w:rsidRDefault="00987927" w:rsidP="00A8302C">
      <w:pPr>
        <w:spacing w:line="240" w:lineRule="auto"/>
      </w:pPr>
      <w:r>
        <w:separator/>
      </w:r>
    </w:p>
  </w:endnote>
  <w:endnote w:type="continuationSeparator" w:id="0">
    <w:p w:rsidR="00987927" w:rsidRDefault="00987927" w:rsidP="00A830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053" w:rsidRDefault="0094305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053" w:rsidRDefault="0094305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053" w:rsidRDefault="0094305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927" w:rsidRDefault="00987927" w:rsidP="00A8302C">
      <w:pPr>
        <w:spacing w:line="240" w:lineRule="auto"/>
      </w:pPr>
      <w:r>
        <w:separator/>
      </w:r>
    </w:p>
  </w:footnote>
  <w:footnote w:type="continuationSeparator" w:id="0">
    <w:p w:rsidR="00987927" w:rsidRDefault="00987927" w:rsidP="00A830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053" w:rsidRDefault="0094305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393" w:rsidRPr="006215F1" w:rsidRDefault="00531393" w:rsidP="00A8302C">
    <w:pPr>
      <w:jc w:val="center"/>
      <w:rPr>
        <w:rFonts w:cs="Arial"/>
      </w:rPr>
    </w:pPr>
  </w:p>
  <w:p w:rsidR="00531393" w:rsidRPr="006215F1" w:rsidRDefault="00531393" w:rsidP="00A8302C">
    <w:pPr>
      <w:pStyle w:val="Contedodatabela"/>
      <w:ind w:firstLine="0"/>
      <w:jc w:val="center"/>
      <w:rPr>
        <w:rFonts w:ascii="Arial" w:hAnsi="Arial" w:cs="Arial"/>
        <w:b/>
        <w:bCs/>
        <w:sz w:val="20"/>
        <w:szCs w:val="20"/>
      </w:rPr>
    </w:pPr>
  </w:p>
  <w:tbl>
    <w:tblPr>
      <w:tblW w:w="11058" w:type="dxa"/>
      <w:tblInd w:w="-1548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2078"/>
      <w:gridCol w:w="8980"/>
    </w:tblGrid>
    <w:tr w:rsidR="00531393" w:rsidRPr="006215F1" w:rsidTr="00725749">
      <w:trPr>
        <w:trHeight w:hRule="exact" w:val="439"/>
      </w:trPr>
      <w:tc>
        <w:tcPr>
          <w:tcW w:w="2078" w:type="dxa"/>
          <w:vMerge w:val="restart"/>
          <w:shd w:val="clear" w:color="auto" w:fill="auto"/>
        </w:tcPr>
        <w:p w:rsidR="00531393" w:rsidRPr="006215F1" w:rsidRDefault="00943053" w:rsidP="00531393">
          <w:pPr>
            <w:pStyle w:val="Contedodatabela"/>
            <w:snapToGrid w:val="0"/>
            <w:ind w:firstLine="0"/>
            <w:jc w:val="center"/>
            <w:rPr>
              <w:rFonts w:ascii="Arial" w:hAnsi="Arial" w:cs="Arial"/>
              <w:sz w:val="28"/>
              <w:szCs w:val="28"/>
            </w:rPr>
          </w:pPr>
          <w:r w:rsidRPr="00146C01">
            <w:rPr>
              <w:noProof/>
              <w:lang w:eastAsia="pt-BR"/>
            </w:rPr>
            <w:drawing>
              <wp:inline distT="0" distB="0" distL="0" distR="0">
                <wp:extent cx="868270" cy="841137"/>
                <wp:effectExtent l="0" t="0" r="8255" b="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9786" cy="84260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80" w:type="dxa"/>
          <w:tcBorders>
            <w:bottom w:val="single" w:sz="1" w:space="0" w:color="000000"/>
          </w:tcBorders>
          <w:shd w:val="clear" w:color="auto" w:fill="auto"/>
        </w:tcPr>
        <w:p w:rsidR="002C702C" w:rsidRDefault="002C702C" w:rsidP="002C702C">
          <w:pPr>
            <w:pStyle w:val="FR1"/>
            <w:jc w:val="left"/>
            <w:rPr>
              <w:sz w:val="39"/>
              <w:szCs w:val="39"/>
              <w:u w:val="single"/>
            </w:rPr>
          </w:pPr>
          <w:r>
            <w:rPr>
              <w:sz w:val="39"/>
              <w:szCs w:val="39"/>
              <w:u w:val="single"/>
            </w:rPr>
            <w:t>Câmara Municipal de Fortaleza de Minas</w:t>
          </w:r>
        </w:p>
        <w:p w:rsidR="00531393" w:rsidRPr="001F2612" w:rsidRDefault="002C702C" w:rsidP="002C702C">
          <w:pPr>
            <w:pStyle w:val="Contedodatabela"/>
            <w:snapToGrid w:val="0"/>
            <w:ind w:firstLine="0"/>
            <w:jc w:val="center"/>
            <w:rPr>
              <w:rFonts w:ascii="Arial" w:hAnsi="Arial" w:cs="Arial"/>
              <w:sz w:val="28"/>
              <w:szCs w:val="28"/>
              <w:lang w:val="pt-PT"/>
            </w:rPr>
          </w:pPr>
          <w:r>
            <w:rPr>
              <w:sz w:val="22"/>
              <w:szCs w:val="22"/>
            </w:rPr>
            <w:tab/>
          </w:r>
        </w:p>
      </w:tc>
    </w:tr>
    <w:tr w:rsidR="00531393" w:rsidRPr="006215F1" w:rsidTr="00725749">
      <w:trPr>
        <w:trHeight w:val="994"/>
      </w:trPr>
      <w:tc>
        <w:tcPr>
          <w:tcW w:w="2078" w:type="dxa"/>
          <w:vMerge/>
          <w:shd w:val="clear" w:color="auto" w:fill="auto"/>
        </w:tcPr>
        <w:p w:rsidR="00531393" w:rsidRPr="006215F1" w:rsidRDefault="00531393" w:rsidP="00531393">
          <w:pPr>
            <w:snapToGrid w:val="0"/>
            <w:jc w:val="center"/>
            <w:rPr>
              <w:rFonts w:cs="Arial"/>
            </w:rPr>
          </w:pPr>
        </w:p>
      </w:tc>
      <w:tc>
        <w:tcPr>
          <w:tcW w:w="8980" w:type="dxa"/>
          <w:shd w:val="clear" w:color="auto" w:fill="auto"/>
        </w:tcPr>
        <w:p w:rsidR="00531393" w:rsidRPr="006215F1" w:rsidRDefault="00531393" w:rsidP="00531393">
          <w:pPr>
            <w:pStyle w:val="Contedodatabela"/>
            <w:snapToGrid w:val="0"/>
            <w:ind w:firstLine="0"/>
            <w:jc w:val="center"/>
            <w:rPr>
              <w:rFonts w:ascii="Arial" w:hAnsi="Arial" w:cs="Arial"/>
              <w:sz w:val="28"/>
              <w:szCs w:val="28"/>
            </w:rPr>
          </w:pPr>
        </w:p>
      </w:tc>
    </w:tr>
  </w:tbl>
  <w:p w:rsidR="00531393" w:rsidRDefault="0053139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053" w:rsidRDefault="0094305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057D7D"/>
    <w:multiLevelType w:val="hybridMultilevel"/>
    <w:tmpl w:val="F4BC87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C0B"/>
    <w:rsid w:val="000004A2"/>
    <w:rsid w:val="00092C0E"/>
    <w:rsid w:val="000A0604"/>
    <w:rsid w:val="000A5CE0"/>
    <w:rsid w:val="000B7F04"/>
    <w:rsid w:val="000F3A59"/>
    <w:rsid w:val="000F4137"/>
    <w:rsid w:val="000F4222"/>
    <w:rsid w:val="001177F2"/>
    <w:rsid w:val="0014020C"/>
    <w:rsid w:val="0015530F"/>
    <w:rsid w:val="00180CCE"/>
    <w:rsid w:val="001907C0"/>
    <w:rsid w:val="001E2B31"/>
    <w:rsid w:val="001F14DC"/>
    <w:rsid w:val="001F2612"/>
    <w:rsid w:val="00233DB3"/>
    <w:rsid w:val="002506F6"/>
    <w:rsid w:val="002900F7"/>
    <w:rsid w:val="00294E9E"/>
    <w:rsid w:val="002A4F97"/>
    <w:rsid w:val="002B1C0B"/>
    <w:rsid w:val="002C702C"/>
    <w:rsid w:val="002D55C7"/>
    <w:rsid w:val="00316246"/>
    <w:rsid w:val="003B187A"/>
    <w:rsid w:val="003B191B"/>
    <w:rsid w:val="003B1EEB"/>
    <w:rsid w:val="003C6677"/>
    <w:rsid w:val="003D5D17"/>
    <w:rsid w:val="003E75A4"/>
    <w:rsid w:val="00440B82"/>
    <w:rsid w:val="004534DE"/>
    <w:rsid w:val="00474A21"/>
    <w:rsid w:val="004851CE"/>
    <w:rsid w:val="004C1116"/>
    <w:rsid w:val="004C4F94"/>
    <w:rsid w:val="004D66B8"/>
    <w:rsid w:val="00531393"/>
    <w:rsid w:val="005949C3"/>
    <w:rsid w:val="006175C3"/>
    <w:rsid w:val="00627E01"/>
    <w:rsid w:val="006B1271"/>
    <w:rsid w:val="006D47D8"/>
    <w:rsid w:val="006E2744"/>
    <w:rsid w:val="00725749"/>
    <w:rsid w:val="007971DA"/>
    <w:rsid w:val="007D473A"/>
    <w:rsid w:val="008813BA"/>
    <w:rsid w:val="008D04E0"/>
    <w:rsid w:val="008E7AA5"/>
    <w:rsid w:val="00943053"/>
    <w:rsid w:val="009777B4"/>
    <w:rsid w:val="00987927"/>
    <w:rsid w:val="009B24FB"/>
    <w:rsid w:val="009D4479"/>
    <w:rsid w:val="00A01C4D"/>
    <w:rsid w:val="00A120C8"/>
    <w:rsid w:val="00A52618"/>
    <w:rsid w:val="00A66688"/>
    <w:rsid w:val="00A73D31"/>
    <w:rsid w:val="00A75D68"/>
    <w:rsid w:val="00A8302C"/>
    <w:rsid w:val="00AA0C01"/>
    <w:rsid w:val="00AB6C85"/>
    <w:rsid w:val="00AF0EB2"/>
    <w:rsid w:val="00B10B2F"/>
    <w:rsid w:val="00B71612"/>
    <w:rsid w:val="00B94C12"/>
    <w:rsid w:val="00BE1706"/>
    <w:rsid w:val="00C9780A"/>
    <w:rsid w:val="00D03E82"/>
    <w:rsid w:val="00D50F00"/>
    <w:rsid w:val="00DC3C24"/>
    <w:rsid w:val="00DF7ED9"/>
    <w:rsid w:val="00E14037"/>
    <w:rsid w:val="00E975F3"/>
    <w:rsid w:val="00F22DAF"/>
    <w:rsid w:val="00F356E7"/>
    <w:rsid w:val="00F40A52"/>
    <w:rsid w:val="00FA3CD4"/>
    <w:rsid w:val="00FF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34B1F8-5FA1-4230-8392-254D71B5E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kern w:val="24"/>
        <w:sz w:val="24"/>
        <w:szCs w:val="24"/>
        <w:lang w:val="pt-BR" w:eastAsia="en-US" w:bidi="ar-SA"/>
      </w:rPr>
    </w:rPrDefault>
    <w:pPrDefault>
      <w:pPr>
        <w:spacing w:line="360" w:lineRule="auto"/>
        <w:ind w:left="170" w:right="113" w:firstLine="198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4E0"/>
    <w:pPr>
      <w:spacing w:after="200" w:line="276" w:lineRule="auto"/>
      <w:ind w:left="0" w:right="0" w:firstLine="0"/>
      <w:jc w:val="left"/>
    </w:pPr>
    <w:rPr>
      <w:rFonts w:asciiTheme="minorHAnsi" w:hAnsiTheme="minorHAnsi" w:cstheme="minorBidi"/>
      <w:kern w:val="0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302C"/>
    <w:pPr>
      <w:tabs>
        <w:tab w:val="center" w:pos="4252"/>
        <w:tab w:val="right" w:pos="8504"/>
      </w:tabs>
      <w:spacing w:after="0" w:line="240" w:lineRule="auto"/>
      <w:ind w:left="170" w:right="113" w:firstLine="1985"/>
      <w:jc w:val="both"/>
    </w:pPr>
    <w:rPr>
      <w:rFonts w:ascii="Arial" w:hAnsi="Arial" w:cs="Times New Roman"/>
      <w:kern w:val="24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A8302C"/>
  </w:style>
  <w:style w:type="paragraph" w:styleId="Rodap">
    <w:name w:val="footer"/>
    <w:basedOn w:val="Normal"/>
    <w:link w:val="RodapChar"/>
    <w:uiPriority w:val="99"/>
    <w:unhideWhenUsed/>
    <w:rsid w:val="00A8302C"/>
    <w:pPr>
      <w:tabs>
        <w:tab w:val="center" w:pos="4252"/>
        <w:tab w:val="right" w:pos="8504"/>
      </w:tabs>
      <w:spacing w:after="0" w:line="240" w:lineRule="auto"/>
      <w:ind w:left="170" w:right="113" w:firstLine="1985"/>
      <w:jc w:val="both"/>
    </w:pPr>
    <w:rPr>
      <w:rFonts w:ascii="Arial" w:hAnsi="Arial" w:cs="Times New Roman"/>
      <w:kern w:val="24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A8302C"/>
  </w:style>
  <w:style w:type="paragraph" w:customStyle="1" w:styleId="Contedodatabela">
    <w:name w:val="Conteúdo da tabela"/>
    <w:basedOn w:val="Normal"/>
    <w:rsid w:val="00A8302C"/>
    <w:pPr>
      <w:widowControl w:val="0"/>
      <w:suppressLineNumbers/>
      <w:suppressAutoHyphens/>
      <w:spacing w:after="0" w:line="240" w:lineRule="auto"/>
      <w:ind w:left="170" w:right="113" w:firstLine="1985"/>
      <w:jc w:val="both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302C"/>
    <w:pPr>
      <w:spacing w:after="0" w:line="240" w:lineRule="auto"/>
      <w:ind w:left="170" w:right="113" w:firstLine="1985"/>
      <w:jc w:val="both"/>
    </w:pPr>
    <w:rPr>
      <w:rFonts w:ascii="Tahoma" w:hAnsi="Tahoma" w:cs="Tahoma"/>
      <w:kern w:val="24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302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D5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D55C7"/>
    <w:rPr>
      <w:b/>
      <w:bCs/>
    </w:rPr>
  </w:style>
  <w:style w:type="character" w:styleId="nfase">
    <w:name w:val="Emphasis"/>
    <w:basedOn w:val="Fontepargpadro"/>
    <w:uiPriority w:val="20"/>
    <w:qFormat/>
    <w:rsid w:val="002D55C7"/>
    <w:rPr>
      <w:i/>
      <w:iCs/>
    </w:rPr>
  </w:style>
  <w:style w:type="paragraph" w:styleId="PargrafodaLista">
    <w:name w:val="List Paragraph"/>
    <w:basedOn w:val="Normal"/>
    <w:uiPriority w:val="34"/>
    <w:qFormat/>
    <w:rsid w:val="003E75A4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rsid w:val="000F4137"/>
    <w:pPr>
      <w:shd w:val="clear" w:color="auto" w:fill="FFFFFF"/>
      <w:spacing w:after="60" w:line="240" w:lineRule="atLeast"/>
      <w:jc w:val="both"/>
    </w:pPr>
    <w:rPr>
      <w:rFonts w:ascii="Arial" w:eastAsia="Arial Unicode MS" w:hAnsi="Arial" w:cs="Times New Roman"/>
      <w:sz w:val="26"/>
      <w:szCs w:val="26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0F4137"/>
    <w:rPr>
      <w:rFonts w:eastAsia="Arial Unicode MS"/>
      <w:kern w:val="0"/>
      <w:sz w:val="26"/>
      <w:szCs w:val="26"/>
      <w:shd w:val="clear" w:color="auto" w:fill="FFFFFF"/>
      <w:lang w:eastAsia="pt-BR"/>
    </w:rPr>
  </w:style>
  <w:style w:type="paragraph" w:customStyle="1" w:styleId="FR2">
    <w:name w:val="FR2"/>
    <w:rsid w:val="001F2612"/>
    <w:pPr>
      <w:widowControl w:val="0"/>
      <w:suppressAutoHyphens/>
      <w:autoSpaceDE w:val="0"/>
      <w:spacing w:before="160" w:line="276" w:lineRule="auto"/>
      <w:ind w:left="40" w:right="0" w:firstLine="0"/>
      <w:jc w:val="center"/>
    </w:pPr>
    <w:rPr>
      <w:rFonts w:ascii="Times New Roman" w:eastAsia="Times New Roman" w:hAnsi="Times New Roman"/>
      <w:kern w:val="0"/>
      <w:sz w:val="20"/>
      <w:szCs w:val="20"/>
      <w:lang w:val="pt-PT" w:eastAsia="ar-SA"/>
    </w:rPr>
  </w:style>
  <w:style w:type="paragraph" w:customStyle="1" w:styleId="FR1">
    <w:name w:val="FR1"/>
    <w:rsid w:val="001F2612"/>
    <w:pPr>
      <w:widowControl w:val="0"/>
      <w:suppressAutoHyphens/>
      <w:autoSpaceDE w:val="0"/>
      <w:spacing w:after="200" w:line="276" w:lineRule="auto"/>
      <w:ind w:left="0" w:right="0" w:firstLine="0"/>
    </w:pPr>
    <w:rPr>
      <w:rFonts w:eastAsia="Times New Roman" w:cs="Arial"/>
      <w:b/>
      <w:bCs/>
      <w:kern w:val="0"/>
      <w:sz w:val="48"/>
      <w:szCs w:val="48"/>
      <w:lang w:val="pt-PT" w:eastAsia="ar-SA"/>
    </w:rPr>
  </w:style>
  <w:style w:type="character" w:customStyle="1" w:styleId="WW-Absatz-Standardschriftart111">
    <w:name w:val="WW-Absatz-Standardschriftart111"/>
    <w:rsid w:val="002C70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jur.com/legislacao/htm/lec_00001422013" TargetMode="External"/><Relationship Id="rId13" Type="http://schemas.openxmlformats.org/officeDocument/2006/relationships/hyperlink" Target="https://www.legjur.com/legislacao/htm/lec_00001422013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s://www.legjur.com/legislacao/htm/lec_00001422013" TargetMode="External"/><Relationship Id="rId12" Type="http://schemas.openxmlformats.org/officeDocument/2006/relationships/hyperlink" Target="https://www.legjur.com/legislacao/htm/lec_00001422013" TargetMode="External"/><Relationship Id="rId17" Type="http://schemas.openxmlformats.org/officeDocument/2006/relationships/hyperlink" Target="https://www.legjur.com/legislacao/htm/lec_00001422013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legjur.com/legislacao/htm/lec_00001422013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egjur.com/legislacao/htm/lec_00001422013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legjur.com/legislacao/htm/lec_00001422013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www.legjur.com/legislacao/htm/lec_00001422013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www.legjur.com/legislacao/htm/lec_00001422013" TargetMode="External"/><Relationship Id="rId14" Type="http://schemas.openxmlformats.org/officeDocument/2006/relationships/hyperlink" Target="https://www.legjur.com/legislacao/htm/lec_00001422013" TargetMode="Externa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970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pc</cp:lastModifiedBy>
  <cp:revision>10</cp:revision>
  <cp:lastPrinted>2016-10-27T12:56:00Z</cp:lastPrinted>
  <dcterms:created xsi:type="dcterms:W3CDTF">2016-11-16T15:41:00Z</dcterms:created>
  <dcterms:modified xsi:type="dcterms:W3CDTF">2016-11-21T18:03:00Z</dcterms:modified>
</cp:coreProperties>
</file>